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736" w:rsidRPr="00F91B1C" w:rsidRDefault="003041CB" w:rsidP="008F4736">
      <w:pPr>
        <w:jc w:val="center"/>
        <w:rPr>
          <w:lang w:val="ru-RU"/>
        </w:rPr>
      </w:pPr>
      <w:r>
        <w:rPr>
          <w:rFonts w:cs="Times New Roman"/>
          <w:noProof/>
          <w:sz w:val="24"/>
          <w:szCs w:val="24"/>
          <w:bdr w:val="single" w:sz="2" w:space="0" w:color="FFFFFF"/>
          <w:lang w:val="ru-RU" w:eastAsia="ru-RU"/>
        </w:rPr>
        <w:drawing>
          <wp:anchor distT="0" distB="0" distL="114300" distR="114300" simplePos="0" relativeHeight="251658240" behindDoc="0" locked="0" layoutInCell="1" allowOverlap="1" wp14:anchorId="1FD1DC7F" wp14:editId="5104A79D">
            <wp:simplePos x="0" y="0"/>
            <wp:positionH relativeFrom="column">
              <wp:posOffset>-66675</wp:posOffset>
            </wp:positionH>
            <wp:positionV relativeFrom="paragraph">
              <wp:posOffset>-113030</wp:posOffset>
            </wp:positionV>
            <wp:extent cx="1304925" cy="1657350"/>
            <wp:effectExtent l="0" t="0" r="952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t="-182" r="-192" b="-182"/>
                    <a:stretch>
                      <a:fillRect/>
                    </a:stretch>
                  </pic:blipFill>
                  <pic:spPr bwMode="auto">
                    <a:xfrm>
                      <a:off x="0" y="0"/>
                      <a:ext cx="1304925" cy="165735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008F4736" w:rsidRPr="00F91B1C">
        <w:rPr>
          <w:b/>
          <w:lang w:val="ru-RU"/>
        </w:rPr>
        <w:t>АНОТАЦІЯ НАВЧАЛЬНОЇ ДИСЦИПЛІНИ</w:t>
      </w:r>
    </w:p>
    <w:p w:rsidR="00786726" w:rsidRPr="008F4736" w:rsidRDefault="00B82B45" w:rsidP="008F4736">
      <w:pPr>
        <w:spacing w:after="0"/>
        <w:jc w:val="center"/>
        <w:rPr>
          <w:lang w:val="ru-RU"/>
        </w:rPr>
      </w:pPr>
      <w:r w:rsidRPr="008F4736">
        <w:rPr>
          <w:b/>
          <w:lang w:val="ru-RU"/>
        </w:rPr>
        <w:t>ДИСЦИПЛІНА ВІЛЬНОГО ВИБОРУ</w:t>
      </w:r>
    </w:p>
    <w:p w:rsidR="00786726" w:rsidRPr="008F4736" w:rsidRDefault="00B82B45" w:rsidP="008F4736">
      <w:pPr>
        <w:spacing w:after="160"/>
        <w:jc w:val="center"/>
        <w:rPr>
          <w:lang w:val="ru-RU"/>
        </w:rPr>
      </w:pPr>
      <w:r w:rsidRPr="008F4736">
        <w:rPr>
          <w:lang w:val="ru-RU"/>
        </w:rPr>
        <w:t>Дисципліни кафедрального каталогу</w:t>
      </w:r>
    </w:p>
    <w:p w:rsidR="00786726" w:rsidRPr="008F4736" w:rsidRDefault="00B82B45" w:rsidP="008F4736">
      <w:pPr>
        <w:spacing w:after="80"/>
        <w:jc w:val="center"/>
        <w:rPr>
          <w:lang w:val="ru-RU"/>
        </w:rPr>
      </w:pPr>
      <w:r w:rsidRPr="008F4736">
        <w:rPr>
          <w:b/>
          <w:lang w:val="ru-RU"/>
        </w:rPr>
        <w:t>ВБ К4 Дисципліна 1</w:t>
      </w:r>
    </w:p>
    <w:p w:rsidR="008F4736" w:rsidRDefault="00B82B45" w:rsidP="008F4736">
      <w:pPr>
        <w:spacing w:after="160" w:line="240" w:lineRule="auto"/>
        <w:jc w:val="center"/>
        <w:rPr>
          <w:b/>
          <w:lang w:val="ru-RU"/>
        </w:rPr>
      </w:pPr>
      <w:r w:rsidRPr="008F4736">
        <w:rPr>
          <w:b/>
          <w:lang w:val="ru-RU"/>
        </w:rPr>
        <w:t xml:space="preserve">ТАЄМНІ ОРГАНІЗАЦІЇ ТА НЕЛЕГАЛЬНІ СТРУКТУРИ: </w:t>
      </w:r>
    </w:p>
    <w:p w:rsidR="00786726" w:rsidRPr="008F4736" w:rsidRDefault="00B82B45" w:rsidP="008F4736">
      <w:pPr>
        <w:spacing w:after="160" w:line="240" w:lineRule="auto"/>
        <w:jc w:val="center"/>
        <w:rPr>
          <w:lang w:val="ru-RU"/>
        </w:rPr>
      </w:pPr>
      <w:r w:rsidRPr="008F4736">
        <w:rPr>
          <w:b/>
          <w:lang w:val="ru-RU"/>
        </w:rPr>
        <w:t>ЗАГРОЗИ ДЕРЖАВІ Й СУСПІЛЬСТВУ</w:t>
      </w:r>
    </w:p>
    <w:tbl>
      <w:tblPr>
        <w:tblStyle w:val="aff0"/>
        <w:tblW w:w="0" w:type="auto"/>
        <w:tblLook w:val="04A0" w:firstRow="1" w:lastRow="0" w:firstColumn="1" w:lastColumn="0" w:noHBand="0" w:noVBand="1"/>
      </w:tblPr>
      <w:tblGrid>
        <w:gridCol w:w="4986"/>
        <w:gridCol w:w="4986"/>
      </w:tblGrid>
      <w:tr w:rsidR="00786726">
        <w:tc>
          <w:tcPr>
            <w:tcW w:w="4986" w:type="dxa"/>
          </w:tcPr>
          <w:p w:rsidR="00786726" w:rsidRDefault="00B82B45">
            <w:pPr>
              <w:spacing w:after="40"/>
            </w:pPr>
            <w:r>
              <w:rPr>
                <w:b/>
              </w:rPr>
              <w:t>Відеозвернення:</w:t>
            </w:r>
          </w:p>
        </w:tc>
        <w:tc>
          <w:tcPr>
            <w:tcW w:w="4986" w:type="dxa"/>
          </w:tcPr>
          <w:p w:rsidR="00786726" w:rsidRDefault="00B82B45">
            <w:pPr>
              <w:spacing w:after="40"/>
            </w:pPr>
            <w:r>
              <w:t>—</w:t>
            </w:r>
          </w:p>
        </w:tc>
      </w:tr>
      <w:tr w:rsidR="00786726">
        <w:tc>
          <w:tcPr>
            <w:tcW w:w="4986" w:type="dxa"/>
          </w:tcPr>
          <w:p w:rsidR="00786726" w:rsidRDefault="00B82B45">
            <w:pPr>
              <w:spacing w:after="40"/>
            </w:pPr>
            <w:r>
              <w:rPr>
                <w:b/>
              </w:rPr>
              <w:t>Мова викладання:</w:t>
            </w:r>
          </w:p>
        </w:tc>
        <w:tc>
          <w:tcPr>
            <w:tcW w:w="4986" w:type="dxa"/>
          </w:tcPr>
          <w:p w:rsidR="00786726" w:rsidRDefault="00B82B45">
            <w:pPr>
              <w:spacing w:after="40"/>
            </w:pPr>
            <w:r>
              <w:t>Українська</w:t>
            </w:r>
          </w:p>
        </w:tc>
      </w:tr>
      <w:tr w:rsidR="00786726" w:rsidRPr="00914A02">
        <w:tc>
          <w:tcPr>
            <w:tcW w:w="4986" w:type="dxa"/>
          </w:tcPr>
          <w:p w:rsidR="00786726" w:rsidRDefault="00B82B45">
            <w:pPr>
              <w:spacing w:after="40"/>
            </w:pPr>
            <w:r>
              <w:rPr>
                <w:b/>
              </w:rPr>
              <w:t>Кількість студентів (мін. – макс.):</w:t>
            </w:r>
          </w:p>
        </w:tc>
        <w:tc>
          <w:tcPr>
            <w:tcW w:w="4986" w:type="dxa"/>
          </w:tcPr>
          <w:p w:rsidR="00786726" w:rsidRPr="008F4736" w:rsidRDefault="008F4736">
            <w:pPr>
              <w:spacing w:after="40"/>
              <w:rPr>
                <w:lang w:val="ru-RU"/>
              </w:rPr>
            </w:pPr>
            <w:r>
              <w:rPr>
                <w:lang w:val="ru-RU"/>
              </w:rPr>
              <w:t>10–20</w:t>
            </w:r>
            <w:r w:rsidR="00B82B45" w:rsidRPr="008F4736">
              <w:rPr>
                <w:lang w:val="ru-RU"/>
              </w:rPr>
              <w:t xml:space="preserve"> студентів у підгрупі (загалом до 50 здобувачів)</w:t>
            </w:r>
          </w:p>
        </w:tc>
      </w:tr>
      <w:tr w:rsidR="00786726">
        <w:tc>
          <w:tcPr>
            <w:tcW w:w="4986" w:type="dxa"/>
          </w:tcPr>
          <w:p w:rsidR="00786726" w:rsidRDefault="00B82B45">
            <w:pPr>
              <w:spacing w:after="40"/>
            </w:pPr>
            <w:r>
              <w:rPr>
                <w:b/>
              </w:rPr>
              <w:t>Семестр, в якому викладається:</w:t>
            </w:r>
          </w:p>
        </w:tc>
        <w:tc>
          <w:tcPr>
            <w:tcW w:w="4986" w:type="dxa"/>
          </w:tcPr>
          <w:p w:rsidR="00786726" w:rsidRDefault="00B82B45">
            <w:pPr>
              <w:spacing w:after="40"/>
            </w:pPr>
            <w:r>
              <w:t>Семестр 4, бакалаври (2 курс)</w:t>
            </w:r>
          </w:p>
        </w:tc>
      </w:tr>
      <w:tr w:rsidR="00786726">
        <w:tc>
          <w:tcPr>
            <w:tcW w:w="4986" w:type="dxa"/>
          </w:tcPr>
          <w:p w:rsidR="00786726" w:rsidRDefault="00B82B45">
            <w:pPr>
              <w:spacing w:after="40"/>
            </w:pPr>
            <w:r>
              <w:rPr>
                <w:b/>
              </w:rPr>
              <w:t>Окрім спеціальностей/ОП:</w:t>
            </w:r>
          </w:p>
        </w:tc>
        <w:tc>
          <w:tcPr>
            <w:tcW w:w="4986" w:type="dxa"/>
          </w:tcPr>
          <w:p w:rsidR="00786726" w:rsidRDefault="00B82B45">
            <w:pPr>
              <w:spacing w:after="40"/>
            </w:pPr>
            <w:r>
              <w:t>—</w:t>
            </w:r>
          </w:p>
        </w:tc>
      </w:tr>
      <w:tr w:rsidR="00786726" w:rsidRPr="00914A02">
        <w:tc>
          <w:tcPr>
            <w:tcW w:w="4986" w:type="dxa"/>
          </w:tcPr>
          <w:p w:rsidR="00786726" w:rsidRDefault="00B82B45">
            <w:pPr>
              <w:spacing w:after="40"/>
            </w:pPr>
            <w:r>
              <w:rPr>
                <w:b/>
              </w:rPr>
              <w:t>Для спеціальностей/ОП:</w:t>
            </w:r>
          </w:p>
        </w:tc>
        <w:tc>
          <w:tcPr>
            <w:tcW w:w="4986" w:type="dxa"/>
          </w:tcPr>
          <w:p w:rsidR="00786726" w:rsidRPr="008F4736" w:rsidRDefault="00914A02">
            <w:pPr>
              <w:spacing w:after="40"/>
              <w:rPr>
                <w:lang w:val="ru-RU"/>
              </w:rPr>
            </w:pPr>
            <w:r>
              <w:rPr>
                <w:lang w:val="uk-UA"/>
              </w:rPr>
              <w:t>К3</w:t>
            </w:r>
            <w:r>
              <w:rPr>
                <w:lang w:val="ru-RU"/>
              </w:rPr>
              <w:t xml:space="preserve"> «Національна безпека (за окремими сферами забезпечення і видами діяльності)» / ОП «Національна безпека» (за окремими сферами забезпечення і видами діяльності)</w:t>
            </w:r>
            <w:bookmarkStart w:id="0" w:name="_GoBack"/>
            <w:bookmarkEnd w:id="0"/>
          </w:p>
        </w:tc>
      </w:tr>
      <w:tr w:rsidR="00786726" w:rsidRPr="00E81A7C">
        <w:tc>
          <w:tcPr>
            <w:tcW w:w="4986" w:type="dxa"/>
          </w:tcPr>
          <w:p w:rsidR="00786726" w:rsidRDefault="00B82B45">
            <w:pPr>
              <w:spacing w:after="40"/>
            </w:pPr>
            <w:r>
              <w:rPr>
                <w:b/>
              </w:rPr>
              <w:t>Кількість кредитів ЄКТС / годин:</w:t>
            </w:r>
          </w:p>
        </w:tc>
        <w:tc>
          <w:tcPr>
            <w:tcW w:w="4986" w:type="dxa"/>
          </w:tcPr>
          <w:p w:rsidR="00786726" w:rsidRPr="00E81A7C" w:rsidRDefault="00E81A7C">
            <w:pPr>
              <w:spacing w:after="40"/>
            </w:pPr>
            <w:r>
              <w:rPr>
                <w:lang w:val="ru-RU"/>
              </w:rPr>
              <w:t>кредитів</w:t>
            </w:r>
            <w:r w:rsidRPr="00914A02">
              <w:rPr>
                <w:lang w:val="ru-RU"/>
              </w:rPr>
              <w:t xml:space="preserve"> </w:t>
            </w:r>
            <w:r>
              <w:rPr>
                <w:lang w:val="ru-RU"/>
              </w:rPr>
              <w:t>ЄКТС</w:t>
            </w:r>
            <w:r w:rsidRPr="00914A02">
              <w:rPr>
                <w:lang w:val="ru-RU"/>
              </w:rPr>
              <w:t xml:space="preserve"> – 4 / </w:t>
            </w:r>
            <w:r>
              <w:rPr>
                <w:lang w:val="ru-RU"/>
              </w:rPr>
              <w:t>лекції</w:t>
            </w:r>
            <w:r w:rsidRPr="00914A02">
              <w:rPr>
                <w:lang w:val="ru-RU"/>
              </w:rPr>
              <w:t xml:space="preserve"> – 28 </w:t>
            </w:r>
            <w:r>
              <w:rPr>
                <w:lang w:val="ru-RU"/>
              </w:rPr>
              <w:t>год</w:t>
            </w:r>
            <w:r w:rsidRPr="00914A02">
              <w:rPr>
                <w:lang w:val="ru-RU"/>
              </w:rPr>
              <w:t xml:space="preserve">., </w:t>
            </w:r>
            <w:r>
              <w:rPr>
                <w:lang w:val="ru-RU"/>
              </w:rPr>
              <w:t>практичні</w:t>
            </w:r>
            <w:r w:rsidRPr="00914A02">
              <w:rPr>
                <w:lang w:val="ru-RU"/>
              </w:rPr>
              <w:t xml:space="preserve"> </w:t>
            </w:r>
            <w:r>
              <w:rPr>
                <w:lang w:val="ru-RU"/>
              </w:rPr>
              <w:t>заняття</w:t>
            </w:r>
            <w:r w:rsidRPr="00914A02">
              <w:rPr>
                <w:lang w:val="ru-RU"/>
              </w:rPr>
              <w:t xml:space="preserve"> – </w:t>
            </w:r>
            <w:r>
              <w:rPr>
                <w:lang w:val="uk-UA"/>
              </w:rPr>
              <w:t>32</w:t>
            </w:r>
            <w:r w:rsidR="00B82B45" w:rsidRPr="00914A02">
              <w:rPr>
                <w:lang w:val="ru-RU"/>
              </w:rPr>
              <w:t xml:space="preserve"> </w:t>
            </w:r>
            <w:r w:rsidR="00B82B45" w:rsidRPr="008F4736">
              <w:rPr>
                <w:lang w:val="ru-RU"/>
              </w:rPr>
              <w:t>год</w:t>
            </w:r>
            <w:r w:rsidR="00B82B45" w:rsidRPr="00914A02">
              <w:rPr>
                <w:lang w:val="ru-RU"/>
              </w:rPr>
              <w:t xml:space="preserve">., </w:t>
            </w:r>
            <w:r w:rsidR="00B82B45" w:rsidRPr="008F4736">
              <w:rPr>
                <w:lang w:val="ru-RU"/>
              </w:rPr>
              <w:t>самостійна</w:t>
            </w:r>
            <w:r w:rsidR="00B82B45" w:rsidRPr="00914A02">
              <w:rPr>
                <w:lang w:val="ru-RU"/>
              </w:rPr>
              <w:t xml:space="preserve"> </w:t>
            </w:r>
            <w:r w:rsidR="00B82B45" w:rsidRPr="008F4736">
              <w:rPr>
                <w:lang w:val="ru-RU"/>
              </w:rPr>
              <w:t>робота</w:t>
            </w:r>
            <w:r w:rsidRPr="00914A02">
              <w:rPr>
                <w:lang w:val="ru-RU"/>
              </w:rPr>
              <w:t xml:space="preserve"> – 60</w:t>
            </w:r>
            <w:r w:rsidR="00B82B45" w:rsidRPr="00914A02">
              <w:rPr>
                <w:lang w:val="ru-RU"/>
              </w:rPr>
              <w:t xml:space="preserve"> </w:t>
            </w:r>
            <w:r w:rsidR="00B82B45" w:rsidRPr="008F4736">
              <w:rPr>
                <w:lang w:val="ru-RU"/>
              </w:rPr>
              <w:t>год</w:t>
            </w:r>
            <w:r w:rsidR="00B82B45" w:rsidRPr="00914A02">
              <w:rPr>
                <w:lang w:val="ru-RU"/>
              </w:rPr>
              <w:t xml:space="preserve">. </w:t>
            </w:r>
            <w:r w:rsidR="00B82B45" w:rsidRPr="00E81A7C">
              <w:t>(</w:t>
            </w:r>
            <w:r w:rsidR="00B82B45" w:rsidRPr="00E81A7C">
              <w:rPr>
                <w:lang w:val="ru-RU"/>
              </w:rPr>
              <w:t>усього</w:t>
            </w:r>
            <w:r w:rsidR="00B82B45" w:rsidRPr="00E81A7C">
              <w:t xml:space="preserve"> 120 </w:t>
            </w:r>
            <w:r w:rsidR="00B82B45" w:rsidRPr="00E81A7C">
              <w:rPr>
                <w:lang w:val="ru-RU"/>
              </w:rPr>
              <w:t>год</w:t>
            </w:r>
            <w:r w:rsidR="00B82B45" w:rsidRPr="00E81A7C">
              <w:t>.)</w:t>
            </w:r>
          </w:p>
        </w:tc>
      </w:tr>
      <w:tr w:rsidR="00786726" w:rsidRPr="003041CB">
        <w:tc>
          <w:tcPr>
            <w:tcW w:w="4986" w:type="dxa"/>
          </w:tcPr>
          <w:p w:rsidR="00786726" w:rsidRPr="00914A02" w:rsidRDefault="00B82B45">
            <w:pPr>
              <w:spacing w:after="40"/>
              <w:rPr>
                <w:lang w:val="ru-RU"/>
              </w:rPr>
            </w:pPr>
            <w:r w:rsidRPr="008F4736">
              <w:rPr>
                <w:b/>
                <w:lang w:val="ru-RU"/>
              </w:rPr>
              <w:t>Форма</w:t>
            </w:r>
            <w:r w:rsidRPr="00914A02">
              <w:rPr>
                <w:b/>
                <w:lang w:val="ru-RU"/>
              </w:rPr>
              <w:t xml:space="preserve"> </w:t>
            </w:r>
            <w:r w:rsidRPr="008F4736">
              <w:rPr>
                <w:b/>
                <w:lang w:val="ru-RU"/>
              </w:rPr>
              <w:t>підсумкового</w:t>
            </w:r>
            <w:r w:rsidRPr="00914A02">
              <w:rPr>
                <w:b/>
                <w:lang w:val="ru-RU"/>
              </w:rPr>
              <w:t xml:space="preserve"> </w:t>
            </w:r>
            <w:r w:rsidRPr="008F4736">
              <w:rPr>
                <w:b/>
                <w:lang w:val="ru-RU"/>
              </w:rPr>
              <w:t>контролю</w:t>
            </w:r>
            <w:r w:rsidRPr="00914A02">
              <w:rPr>
                <w:b/>
                <w:lang w:val="ru-RU"/>
              </w:rPr>
              <w:t xml:space="preserve"> </w:t>
            </w:r>
            <w:r w:rsidRPr="008F4736">
              <w:rPr>
                <w:b/>
                <w:lang w:val="ru-RU"/>
              </w:rPr>
              <w:t>та</w:t>
            </w:r>
            <w:r w:rsidRPr="00914A02">
              <w:rPr>
                <w:b/>
                <w:lang w:val="ru-RU"/>
              </w:rPr>
              <w:t xml:space="preserve"> </w:t>
            </w:r>
            <w:r w:rsidRPr="008F4736">
              <w:rPr>
                <w:b/>
                <w:lang w:val="ru-RU"/>
              </w:rPr>
              <w:t>індивідуальні</w:t>
            </w:r>
            <w:r w:rsidRPr="00914A02">
              <w:rPr>
                <w:b/>
                <w:lang w:val="ru-RU"/>
              </w:rPr>
              <w:t xml:space="preserve"> </w:t>
            </w:r>
            <w:r w:rsidRPr="008F4736">
              <w:rPr>
                <w:b/>
                <w:lang w:val="ru-RU"/>
              </w:rPr>
              <w:t>завдання</w:t>
            </w:r>
            <w:r w:rsidRPr="00914A02">
              <w:rPr>
                <w:b/>
                <w:lang w:val="ru-RU"/>
              </w:rPr>
              <w:t>:</w:t>
            </w:r>
          </w:p>
        </w:tc>
        <w:tc>
          <w:tcPr>
            <w:tcW w:w="4986" w:type="dxa"/>
          </w:tcPr>
          <w:p w:rsidR="00786726" w:rsidRPr="00E81A7C" w:rsidRDefault="003041CB" w:rsidP="003041CB">
            <w:pPr>
              <w:spacing w:after="40"/>
            </w:pPr>
            <w:r>
              <w:rPr>
                <w:lang w:val="ru-RU"/>
              </w:rPr>
              <w:t>Залік</w:t>
            </w:r>
            <w:r w:rsidRPr="00E81A7C">
              <w:t xml:space="preserve"> </w:t>
            </w:r>
          </w:p>
        </w:tc>
      </w:tr>
      <w:tr w:rsidR="008F4736">
        <w:tc>
          <w:tcPr>
            <w:tcW w:w="4986" w:type="dxa"/>
          </w:tcPr>
          <w:p w:rsidR="008F4736" w:rsidRDefault="008F4736" w:rsidP="008F4736">
            <w:pPr>
              <w:spacing w:after="40"/>
            </w:pPr>
            <w:r>
              <w:rPr>
                <w:b/>
              </w:rPr>
              <w:t>Кафедра, що забезпечує викладання:</w:t>
            </w:r>
          </w:p>
        </w:tc>
        <w:tc>
          <w:tcPr>
            <w:tcW w:w="4986" w:type="dxa"/>
          </w:tcPr>
          <w:p w:rsidR="008F4736" w:rsidRPr="00F91B1C" w:rsidRDefault="008F4736" w:rsidP="008F4736">
            <w:pPr>
              <w:spacing w:after="40"/>
              <w:rPr>
                <w:lang w:val="uk-UA"/>
              </w:rPr>
            </w:pPr>
            <w:r>
              <w:rPr>
                <w:lang w:val="uk-UA"/>
              </w:rPr>
              <w:t>ПУАНАБ</w:t>
            </w:r>
          </w:p>
        </w:tc>
      </w:tr>
      <w:tr w:rsidR="008F4736">
        <w:tc>
          <w:tcPr>
            <w:tcW w:w="4986" w:type="dxa"/>
          </w:tcPr>
          <w:p w:rsidR="008F4736" w:rsidRDefault="008F4736" w:rsidP="008F4736">
            <w:pPr>
              <w:spacing w:after="40"/>
            </w:pPr>
            <w:r>
              <w:rPr>
                <w:b/>
              </w:rPr>
              <w:t>Викладач:</w:t>
            </w:r>
          </w:p>
        </w:tc>
        <w:tc>
          <w:tcPr>
            <w:tcW w:w="4986" w:type="dxa"/>
          </w:tcPr>
          <w:p w:rsidR="008F4736" w:rsidRPr="00F91B1C" w:rsidRDefault="008F4736" w:rsidP="008F4736">
            <w:pPr>
              <w:spacing w:after="40"/>
              <w:rPr>
                <w:lang w:val="uk-UA"/>
              </w:rPr>
            </w:pPr>
            <w:r>
              <w:rPr>
                <w:lang w:val="uk-UA"/>
              </w:rPr>
              <w:t>Остап</w:t>
            </w:r>
            <w:r w:rsidRPr="00F91B1C">
              <w:t>’</w:t>
            </w:r>
            <w:r>
              <w:rPr>
                <w:lang w:val="uk-UA"/>
              </w:rPr>
              <w:t>як Василь Іванович, доктор політичних наук, професор кафедри публічного управління адміністрування і національної безпеки</w:t>
            </w:r>
          </w:p>
        </w:tc>
      </w:tr>
      <w:tr w:rsidR="008F4736" w:rsidRPr="00914A02">
        <w:tc>
          <w:tcPr>
            <w:tcW w:w="4986" w:type="dxa"/>
          </w:tcPr>
          <w:p w:rsidR="008F4736" w:rsidRDefault="008F4736" w:rsidP="008F4736">
            <w:pPr>
              <w:spacing w:after="40"/>
            </w:pPr>
            <w:r>
              <w:rPr>
                <w:b/>
              </w:rPr>
              <w:t>Пререквізити:</w:t>
            </w:r>
          </w:p>
        </w:tc>
        <w:tc>
          <w:tcPr>
            <w:tcW w:w="4986" w:type="dxa"/>
          </w:tcPr>
          <w:p w:rsidR="008F4736" w:rsidRPr="008F4736" w:rsidRDefault="008F4736" w:rsidP="008F4736">
            <w:pPr>
              <w:spacing w:after="40"/>
              <w:rPr>
                <w:lang w:val="ru-RU"/>
              </w:rPr>
            </w:pPr>
            <w:r w:rsidRPr="00F91B1C">
              <w:rPr>
                <w:lang w:val="ru-RU"/>
              </w:rPr>
              <w:t>Політологія</w:t>
            </w:r>
            <w:r w:rsidRPr="008F4736">
              <w:rPr>
                <w:lang w:val="ru-RU"/>
              </w:rPr>
              <w:t xml:space="preserve"> </w:t>
            </w:r>
            <w:r>
              <w:rPr>
                <w:lang w:val="ru-RU"/>
              </w:rPr>
              <w:t>та</w:t>
            </w:r>
            <w:r w:rsidRPr="008F4736">
              <w:rPr>
                <w:lang w:val="ru-RU"/>
              </w:rPr>
              <w:t xml:space="preserve"> </w:t>
            </w:r>
            <w:r>
              <w:rPr>
                <w:lang w:val="ru-RU"/>
              </w:rPr>
              <w:t>основи</w:t>
            </w:r>
            <w:r w:rsidRPr="008F4736">
              <w:rPr>
                <w:lang w:val="ru-RU"/>
              </w:rPr>
              <w:t xml:space="preserve"> </w:t>
            </w:r>
            <w:r>
              <w:rPr>
                <w:lang w:val="ru-RU"/>
              </w:rPr>
              <w:t>держави</w:t>
            </w:r>
            <w:r w:rsidRPr="008F4736">
              <w:rPr>
                <w:lang w:val="ru-RU"/>
              </w:rPr>
              <w:t xml:space="preserve"> </w:t>
            </w:r>
            <w:r>
              <w:rPr>
                <w:lang w:val="ru-RU"/>
              </w:rPr>
              <w:t>і</w:t>
            </w:r>
            <w:r w:rsidRPr="008F4736">
              <w:rPr>
                <w:lang w:val="ru-RU"/>
              </w:rPr>
              <w:t xml:space="preserve"> </w:t>
            </w:r>
            <w:r>
              <w:rPr>
                <w:lang w:val="ru-RU"/>
              </w:rPr>
              <w:t>права</w:t>
            </w:r>
            <w:r w:rsidRPr="008F4736">
              <w:rPr>
                <w:lang w:val="ru-RU"/>
              </w:rPr>
              <w:t xml:space="preserve">, </w:t>
            </w:r>
            <w:r>
              <w:rPr>
                <w:lang w:val="ru-RU"/>
              </w:rPr>
              <w:t>Основи</w:t>
            </w:r>
            <w:r w:rsidRPr="008F4736">
              <w:rPr>
                <w:lang w:val="ru-RU"/>
              </w:rPr>
              <w:t xml:space="preserve"> </w:t>
            </w:r>
            <w:r>
              <w:rPr>
                <w:lang w:val="ru-RU"/>
              </w:rPr>
              <w:t>національної</w:t>
            </w:r>
            <w:r w:rsidRPr="008F4736">
              <w:rPr>
                <w:lang w:val="ru-RU"/>
              </w:rPr>
              <w:t xml:space="preserve"> </w:t>
            </w:r>
            <w:r>
              <w:rPr>
                <w:lang w:val="ru-RU"/>
              </w:rPr>
              <w:t>безпека</w:t>
            </w:r>
          </w:p>
        </w:tc>
      </w:tr>
      <w:tr w:rsidR="00786726" w:rsidRPr="00914A02">
        <w:tc>
          <w:tcPr>
            <w:tcW w:w="4986" w:type="dxa"/>
          </w:tcPr>
          <w:p w:rsidR="00786726" w:rsidRDefault="00B82B45">
            <w:pPr>
              <w:spacing w:after="40"/>
            </w:pPr>
            <w:r>
              <w:rPr>
                <w:b/>
              </w:rPr>
              <w:t>Компетентності:</w:t>
            </w:r>
          </w:p>
        </w:tc>
        <w:tc>
          <w:tcPr>
            <w:tcW w:w="4986" w:type="dxa"/>
          </w:tcPr>
          <w:p w:rsidR="00E04045" w:rsidRPr="00177011" w:rsidRDefault="00E04045" w:rsidP="00E04045">
            <w:pPr>
              <w:shd w:val="clear" w:color="auto" w:fill="FFFFFF"/>
              <w:jc w:val="both"/>
              <w:rPr>
                <w:rFonts w:cs="Times New Roman"/>
                <w:lang w:val="ru-RU" w:eastAsia="uk-UA"/>
              </w:rPr>
            </w:pPr>
            <w:r w:rsidRPr="00177011">
              <w:rPr>
                <w:rFonts w:cs="Times New Roman"/>
                <w:b/>
                <w:bCs/>
                <w:i/>
                <w:iCs/>
                <w:color w:val="000000"/>
                <w:lang w:val="ru-RU" w:eastAsia="uk-UA"/>
              </w:rPr>
              <w:t xml:space="preserve">ЗК-1. </w:t>
            </w:r>
            <w:r w:rsidRPr="00177011">
              <w:rPr>
                <w:rFonts w:cs="Times New Roman"/>
                <w:color w:val="000000"/>
                <w:lang w:val="ru-RU" w:eastAsia="uk-UA"/>
              </w:rPr>
              <w:t>Здатність до розуміння предметної сфери професійної діяльності, володіння науковим світоглядом, знання основних теорій, концепцій, учень.</w:t>
            </w:r>
          </w:p>
          <w:p w:rsidR="00E04045" w:rsidRPr="00177011" w:rsidRDefault="00E04045" w:rsidP="00E04045">
            <w:pPr>
              <w:shd w:val="clear" w:color="auto" w:fill="FFFFFF"/>
              <w:jc w:val="both"/>
              <w:rPr>
                <w:rFonts w:cs="Times New Roman"/>
                <w:lang w:val="ru-RU" w:eastAsia="uk-UA"/>
              </w:rPr>
            </w:pPr>
            <w:r w:rsidRPr="00177011">
              <w:rPr>
                <w:rFonts w:cs="Times New Roman"/>
                <w:b/>
                <w:bCs/>
                <w:i/>
                <w:iCs/>
                <w:color w:val="000000"/>
                <w:lang w:val="ru-RU" w:eastAsia="uk-UA"/>
              </w:rPr>
              <w:t xml:space="preserve">ЗК-2. </w:t>
            </w:r>
            <w:r w:rsidRPr="00177011">
              <w:rPr>
                <w:rFonts w:cs="Times New Roman"/>
                <w:color w:val="000000"/>
                <w:lang w:val="ru-RU" w:eastAsia="uk-UA"/>
              </w:rPr>
              <w:t>Здатність до ефективної взаємодії; здатність до співпраці та кооперативної діяльності. Повага до різноманітності та мультикультурності; надання рівних можливостей особам різних національностей та різних розумових здібностей, толерантне ставлення до їхньої культурної спадщини, індивідуальних особливостей.</w:t>
            </w:r>
            <w:r w:rsidRPr="00177011">
              <w:rPr>
                <w:rFonts w:cs="Times New Roman"/>
                <w:color w:val="000000"/>
                <w:lang w:eastAsia="uk-UA"/>
              </w:rPr>
              <w:t> </w:t>
            </w:r>
          </w:p>
          <w:p w:rsidR="00E04045" w:rsidRPr="00177011" w:rsidRDefault="00E04045" w:rsidP="00E04045">
            <w:pPr>
              <w:shd w:val="clear" w:color="auto" w:fill="FFFFFF"/>
              <w:jc w:val="both"/>
              <w:rPr>
                <w:rFonts w:cs="Times New Roman"/>
                <w:lang w:val="ru-RU" w:eastAsia="uk-UA"/>
              </w:rPr>
            </w:pPr>
            <w:r w:rsidRPr="00177011">
              <w:rPr>
                <w:rFonts w:cs="Times New Roman"/>
                <w:b/>
                <w:bCs/>
                <w:i/>
                <w:iCs/>
                <w:color w:val="000000"/>
                <w:lang w:val="ru-RU" w:eastAsia="uk-UA"/>
              </w:rPr>
              <w:t xml:space="preserve">ЗК-4. </w:t>
            </w:r>
            <w:r w:rsidRPr="00177011">
              <w:rPr>
                <w:rFonts w:cs="Times New Roman"/>
                <w:color w:val="000000"/>
                <w:lang w:val="ru-RU" w:eastAsia="uk-UA"/>
              </w:rPr>
              <w:t>Здатність відповідально та ефективно реалізовувати громадянські права й обов’язки з метою розвитку демократичного суспільства, орієнтуватися у проблемах сучасного суспільно-політичного життя в Україні.</w:t>
            </w:r>
          </w:p>
          <w:p w:rsidR="00E04045" w:rsidRPr="00177011" w:rsidRDefault="00E04045" w:rsidP="00E04045">
            <w:pPr>
              <w:jc w:val="both"/>
              <w:rPr>
                <w:rFonts w:cs="Times New Roman"/>
                <w:color w:val="000000"/>
                <w:lang w:val="ru-RU" w:eastAsia="uk-UA"/>
              </w:rPr>
            </w:pPr>
            <w:r w:rsidRPr="00177011">
              <w:rPr>
                <w:rFonts w:cs="Times New Roman"/>
                <w:b/>
                <w:bCs/>
                <w:i/>
                <w:iCs/>
                <w:color w:val="000000"/>
                <w:lang w:val="ru-RU" w:eastAsia="uk-UA"/>
              </w:rPr>
              <w:t xml:space="preserve">ФК-1. </w:t>
            </w:r>
            <w:r w:rsidRPr="00177011">
              <w:rPr>
                <w:rFonts w:cs="Times New Roman"/>
                <w:color w:val="000000"/>
                <w:lang w:val="ru-RU" w:eastAsia="uk-UA"/>
              </w:rPr>
              <w:t>Здатність до застосування знань провідних безпекових теорій, концепцій, використання якісних та кількісних методів дослідження у сфері національної безпеки.</w:t>
            </w:r>
          </w:p>
          <w:p w:rsidR="00E04045" w:rsidRPr="00177011" w:rsidRDefault="00E04045" w:rsidP="00E04045">
            <w:pPr>
              <w:jc w:val="both"/>
              <w:rPr>
                <w:rFonts w:cs="Times New Roman"/>
                <w:lang w:val="ru-RU" w:eastAsia="uk-UA"/>
              </w:rPr>
            </w:pPr>
            <w:r w:rsidRPr="00177011">
              <w:rPr>
                <w:rFonts w:cs="Times New Roman"/>
                <w:b/>
                <w:bCs/>
                <w:i/>
                <w:iCs/>
                <w:color w:val="000000"/>
                <w:lang w:val="ru-RU" w:eastAsia="uk-UA"/>
              </w:rPr>
              <w:lastRenderedPageBreak/>
              <w:t xml:space="preserve">ФК-2. </w:t>
            </w:r>
            <w:r w:rsidRPr="00177011">
              <w:rPr>
                <w:rFonts w:cs="Times New Roman"/>
                <w:color w:val="000000"/>
                <w:lang w:val="ru-RU" w:eastAsia="uk-UA"/>
              </w:rPr>
              <w:t xml:space="preserve">Здатність демонструвати та застосовувати знання з теорії національної безпеки, економічних, політичних, </w:t>
            </w:r>
            <w:r w:rsidRPr="00177011">
              <w:rPr>
                <w:rFonts w:cs="Times New Roman"/>
                <w:lang w:val="ru-RU" w:eastAsia="uk-UA"/>
              </w:rPr>
              <w:t>безпекових,</w:t>
            </w:r>
            <w:r w:rsidRPr="00177011">
              <w:rPr>
                <w:rFonts w:cs="Times New Roman"/>
                <w:color w:val="000000"/>
                <w:lang w:val="ru-RU" w:eastAsia="uk-UA"/>
              </w:rPr>
              <w:t xml:space="preserve"> воєнних</w:t>
            </w:r>
            <w:r w:rsidRPr="00177011">
              <w:rPr>
                <w:rFonts w:cs="Times New Roman"/>
                <w:lang w:val="ru-RU" w:eastAsia="uk-UA"/>
              </w:rPr>
              <w:t xml:space="preserve">, </w:t>
            </w:r>
            <w:r w:rsidRPr="00177011">
              <w:rPr>
                <w:rFonts w:cs="Times New Roman"/>
                <w:color w:val="000000"/>
                <w:lang w:val="ru-RU" w:eastAsia="uk-UA"/>
              </w:rPr>
              <w:t>соціальних загроз життєдіяльності держави.</w:t>
            </w:r>
          </w:p>
          <w:p w:rsidR="00E04045" w:rsidRPr="00177011" w:rsidRDefault="00E04045" w:rsidP="00E04045">
            <w:pPr>
              <w:spacing w:after="40"/>
              <w:jc w:val="both"/>
              <w:rPr>
                <w:rFonts w:cs="Times New Roman"/>
                <w:color w:val="000000"/>
                <w:lang w:val="ru-RU" w:eastAsia="uk-UA"/>
              </w:rPr>
            </w:pPr>
            <w:r w:rsidRPr="00177011">
              <w:rPr>
                <w:rFonts w:cs="Times New Roman"/>
                <w:b/>
                <w:bCs/>
                <w:i/>
                <w:iCs/>
                <w:color w:val="000000"/>
                <w:lang w:val="ru-RU" w:eastAsia="uk-UA"/>
              </w:rPr>
              <w:t xml:space="preserve">ФК-4. </w:t>
            </w:r>
            <w:r w:rsidRPr="00177011">
              <w:rPr>
                <w:rFonts w:cs="Times New Roman"/>
                <w:color w:val="000000"/>
                <w:lang w:val="ru-RU" w:eastAsia="uk-UA"/>
              </w:rPr>
              <w:t>Здатність аналізувати та синтезувати інформацію стосовно розроблення та реалізації стратегії розвитку держави, регіону, галузі у безпековій сфері, володіння основними методами, способами</w:t>
            </w:r>
            <w:r w:rsidRPr="00177011">
              <w:rPr>
                <w:rFonts w:cs="Times New Roman"/>
                <w:color w:val="000000"/>
                <w:lang w:eastAsia="uk-UA"/>
              </w:rPr>
              <w:t> </w:t>
            </w:r>
            <w:r w:rsidRPr="00177011">
              <w:rPr>
                <w:rFonts w:cs="Times New Roman"/>
                <w:color w:val="000000"/>
                <w:lang w:val="ru-RU" w:eastAsia="uk-UA"/>
              </w:rPr>
              <w:t xml:space="preserve"> та засобами отримання та аналізу інформації для вирішення професійних завдань.</w:t>
            </w:r>
          </w:p>
          <w:p w:rsidR="00E04045" w:rsidRPr="00E04045" w:rsidRDefault="00E04045" w:rsidP="00E04045">
            <w:pPr>
              <w:jc w:val="both"/>
              <w:rPr>
                <w:rFonts w:cs="Times New Roman"/>
                <w:lang w:val="ru-RU" w:eastAsia="uk-UA"/>
              </w:rPr>
            </w:pPr>
            <w:r w:rsidRPr="00177011">
              <w:rPr>
                <w:rFonts w:cs="Times New Roman"/>
                <w:b/>
                <w:bCs/>
                <w:color w:val="000000"/>
                <w:lang w:val="ru-RU" w:eastAsia="uk-UA"/>
              </w:rPr>
              <w:t>ПР</w:t>
            </w:r>
            <w:r w:rsidRPr="00E04045">
              <w:rPr>
                <w:rFonts w:cs="Times New Roman"/>
                <w:b/>
                <w:bCs/>
                <w:color w:val="000000"/>
                <w:lang w:val="ru-RU" w:eastAsia="uk-UA"/>
              </w:rPr>
              <w:t>Н-2.</w:t>
            </w:r>
            <w:r w:rsidRPr="00E04045">
              <w:rPr>
                <w:rFonts w:cs="Times New Roman"/>
                <w:color w:val="000000"/>
                <w:lang w:val="ru-RU" w:eastAsia="uk-UA"/>
              </w:rPr>
              <w:t xml:space="preserve"> Знати правові основи національної безпеки України, принципи державної політики у сфері національної безпеки й оборони України, національні цінності та інтереси України.</w:t>
            </w:r>
          </w:p>
          <w:p w:rsidR="00786726" w:rsidRPr="00E04045" w:rsidRDefault="00E04045" w:rsidP="00E04045">
            <w:pPr>
              <w:spacing w:after="40"/>
              <w:jc w:val="both"/>
              <w:rPr>
                <w:rFonts w:cs="Times New Roman"/>
                <w:color w:val="000000"/>
                <w:lang w:val="ru-RU" w:eastAsia="uk-UA"/>
              </w:rPr>
            </w:pPr>
            <w:r w:rsidRPr="00E04045">
              <w:rPr>
                <w:rFonts w:cs="Times New Roman"/>
                <w:b/>
                <w:bCs/>
                <w:color w:val="000000"/>
                <w:lang w:val="ru-RU" w:eastAsia="uk-UA"/>
              </w:rPr>
              <w:t>ПРН-18.</w:t>
            </w:r>
            <w:r w:rsidRPr="00E04045">
              <w:rPr>
                <w:rFonts w:cs="Times New Roman"/>
                <w:color w:val="000000"/>
                <w:lang w:val="ru-RU" w:eastAsia="uk-UA"/>
              </w:rPr>
              <w:t xml:space="preserve"> Уміти застосовувати окремі сучасні методи і засоби виявлення та протидії діяльності спецслужб іноземних держав.</w:t>
            </w:r>
          </w:p>
          <w:p w:rsidR="00E04045" w:rsidRPr="00E04045" w:rsidRDefault="00E04045" w:rsidP="00E04045">
            <w:pPr>
              <w:jc w:val="both"/>
              <w:rPr>
                <w:rFonts w:cs="Times New Roman"/>
                <w:sz w:val="24"/>
                <w:szCs w:val="24"/>
                <w:lang w:val="ru-RU" w:eastAsia="uk-UA"/>
              </w:rPr>
            </w:pPr>
            <w:r w:rsidRPr="00E04045">
              <w:rPr>
                <w:rFonts w:cs="Times New Roman"/>
                <w:b/>
                <w:bCs/>
                <w:color w:val="000000"/>
                <w:lang w:val="ru-RU" w:eastAsia="uk-UA"/>
              </w:rPr>
              <w:t>ПРН-21</w:t>
            </w:r>
            <w:r w:rsidRPr="00E04045">
              <w:rPr>
                <w:rFonts w:cs="Times New Roman"/>
                <w:color w:val="000000"/>
                <w:lang w:val="ru-RU" w:eastAsia="uk-UA"/>
              </w:rPr>
              <w:t>. Уміти кваліфікувати злочинні діяння проти основ національної безпеки України.</w:t>
            </w:r>
          </w:p>
        </w:tc>
      </w:tr>
      <w:tr w:rsidR="00786726" w:rsidRPr="00914A02">
        <w:tc>
          <w:tcPr>
            <w:tcW w:w="4986" w:type="dxa"/>
          </w:tcPr>
          <w:p w:rsidR="00786726" w:rsidRDefault="00B82B45">
            <w:pPr>
              <w:spacing w:after="40"/>
            </w:pPr>
            <w:r>
              <w:rPr>
                <w:b/>
              </w:rPr>
              <w:lastRenderedPageBreak/>
              <w:t>Особливості навчання на курсі:</w:t>
            </w:r>
          </w:p>
        </w:tc>
        <w:tc>
          <w:tcPr>
            <w:tcW w:w="4986" w:type="dxa"/>
          </w:tcPr>
          <w:p w:rsidR="00786726" w:rsidRPr="008F4736" w:rsidRDefault="00B82B45">
            <w:pPr>
              <w:spacing w:after="40"/>
              <w:rPr>
                <w:lang w:val="ru-RU"/>
              </w:rPr>
            </w:pPr>
            <w:r w:rsidRPr="008F4736">
              <w:rPr>
                <w:lang w:val="ru-RU"/>
              </w:rPr>
              <w:t>1) Курс подається в аналітичному й правовому ключі: акцент на ознаках, індикаторах та ризиках.</w:t>
            </w:r>
          </w:p>
          <w:p w:rsidR="00786726" w:rsidRPr="008F4736" w:rsidRDefault="00B82B45">
            <w:pPr>
              <w:spacing w:after="40"/>
              <w:rPr>
                <w:lang w:val="ru-RU"/>
              </w:rPr>
            </w:pPr>
            <w:r w:rsidRPr="008F4736">
              <w:rPr>
                <w:lang w:val="ru-RU"/>
              </w:rPr>
              <w:t>2) Розбір кейсів: вербування, фінансування, конспірація, мережеві зв’язки, інформаційний вплив.</w:t>
            </w:r>
          </w:p>
          <w:p w:rsidR="00786726" w:rsidRPr="008F4736" w:rsidRDefault="00B82B45">
            <w:pPr>
              <w:spacing w:after="40"/>
              <w:rPr>
                <w:lang w:val="ru-RU"/>
              </w:rPr>
            </w:pPr>
            <w:r w:rsidRPr="008F4736">
              <w:rPr>
                <w:lang w:val="ru-RU"/>
              </w:rPr>
              <w:t>3) Практика: підготовка довідки/аналітичної записки та базовий ризик-аналіз.</w:t>
            </w:r>
          </w:p>
        </w:tc>
      </w:tr>
      <w:tr w:rsidR="00786726" w:rsidRPr="00914A02">
        <w:tc>
          <w:tcPr>
            <w:tcW w:w="4986" w:type="dxa"/>
          </w:tcPr>
          <w:p w:rsidR="00786726" w:rsidRDefault="00B82B45">
            <w:pPr>
              <w:spacing w:after="40"/>
            </w:pPr>
            <w:r>
              <w:rPr>
                <w:b/>
              </w:rPr>
              <w:t>Матеріально-технічне забезпечення:</w:t>
            </w:r>
          </w:p>
        </w:tc>
        <w:tc>
          <w:tcPr>
            <w:tcW w:w="4986" w:type="dxa"/>
          </w:tcPr>
          <w:p w:rsidR="00786726" w:rsidRPr="008F4736" w:rsidRDefault="00B82B45">
            <w:pPr>
              <w:spacing w:after="40"/>
              <w:rPr>
                <w:lang w:val="ru-RU"/>
              </w:rPr>
            </w:pPr>
            <w:r w:rsidRPr="008F4736">
              <w:rPr>
                <w:lang w:val="ru-RU"/>
              </w:rPr>
              <w:t>Смартфон (або ноутбук/планшет) та доступ до інтернету; робота з нормативними документами, аналітичними матеріалами та навчальними презентаціями.</w:t>
            </w:r>
          </w:p>
        </w:tc>
      </w:tr>
      <w:tr w:rsidR="00786726" w:rsidTr="00D515F5">
        <w:tc>
          <w:tcPr>
            <w:tcW w:w="4986" w:type="dxa"/>
            <w:shd w:val="clear" w:color="auto" w:fill="auto"/>
          </w:tcPr>
          <w:p w:rsidR="00786726" w:rsidRPr="008F4736" w:rsidRDefault="00B82B45">
            <w:pPr>
              <w:spacing w:after="40"/>
              <w:rPr>
                <w:highlight w:val="yellow"/>
              </w:rPr>
            </w:pPr>
            <w:r w:rsidRPr="00D515F5">
              <w:rPr>
                <w:b/>
              </w:rPr>
              <w:t>Посилання на ЕНК Moodle:</w:t>
            </w:r>
          </w:p>
        </w:tc>
        <w:tc>
          <w:tcPr>
            <w:tcW w:w="4986" w:type="dxa"/>
          </w:tcPr>
          <w:p w:rsidR="00786726" w:rsidRPr="008F4736" w:rsidRDefault="00D515F5">
            <w:pPr>
              <w:spacing w:after="40"/>
              <w:rPr>
                <w:highlight w:val="yellow"/>
              </w:rPr>
            </w:pPr>
            <w:r w:rsidRPr="00D515F5">
              <w:t>https://dn.nung.edu.ua/course/view.php?id=5154</w:t>
            </w:r>
          </w:p>
        </w:tc>
      </w:tr>
      <w:tr w:rsidR="00786726" w:rsidRPr="00914A02">
        <w:tc>
          <w:tcPr>
            <w:tcW w:w="4986" w:type="dxa"/>
          </w:tcPr>
          <w:p w:rsidR="00786726" w:rsidRDefault="00B82B45">
            <w:pPr>
              <w:spacing w:after="40"/>
            </w:pPr>
            <w:r w:rsidRPr="008F4736">
              <w:rPr>
                <w:b/>
                <w:lang w:val="ru-RU"/>
              </w:rPr>
              <w:t xml:space="preserve">Посилання на інші матеріали за дисципліною </w:t>
            </w:r>
            <w:r>
              <w:rPr>
                <w:b/>
              </w:rPr>
              <w:t>(за наявності)</w:t>
            </w:r>
          </w:p>
        </w:tc>
        <w:tc>
          <w:tcPr>
            <w:tcW w:w="4986" w:type="dxa"/>
          </w:tcPr>
          <w:p w:rsidR="00786726" w:rsidRPr="008F4736" w:rsidRDefault="00B82B45">
            <w:pPr>
              <w:spacing w:after="40"/>
              <w:rPr>
                <w:lang w:val="ru-RU"/>
              </w:rPr>
            </w:pPr>
            <w:r w:rsidRPr="008F4736">
              <w:rPr>
                <w:lang w:val="ru-RU"/>
              </w:rPr>
              <w:t>Нормативні акти, методичні матеріали та кейси надаються в електронному вигляді.</w:t>
            </w:r>
          </w:p>
        </w:tc>
      </w:tr>
      <w:tr w:rsidR="00786726" w:rsidRPr="00914A02">
        <w:tc>
          <w:tcPr>
            <w:tcW w:w="4986" w:type="dxa"/>
          </w:tcPr>
          <w:p w:rsidR="00786726" w:rsidRDefault="00B82B45">
            <w:pPr>
              <w:spacing w:after="40"/>
            </w:pPr>
            <w:r>
              <w:rPr>
                <w:b/>
              </w:rPr>
              <w:t>Стислий опис дисципліни:</w:t>
            </w:r>
          </w:p>
        </w:tc>
        <w:tc>
          <w:tcPr>
            <w:tcW w:w="4986" w:type="dxa"/>
          </w:tcPr>
          <w:p w:rsidR="00786726" w:rsidRPr="008F4736" w:rsidRDefault="00B82B45" w:rsidP="008F4736">
            <w:pPr>
              <w:spacing w:after="40"/>
              <w:jc w:val="both"/>
              <w:rPr>
                <w:lang w:val="ru-RU"/>
              </w:rPr>
            </w:pPr>
            <w:r>
              <w:t xml:space="preserve">Дисципліна аналізує таємні організації й нелегальні структури як джерело ризиків для держави та суспільства. </w:t>
            </w:r>
            <w:r w:rsidRPr="008F4736">
              <w:rPr>
                <w:lang w:val="ru-RU"/>
              </w:rPr>
              <w:t>У фокусі – типи мереж, їхні цілі, канали ресурсного забезпечення, методи конспірації та впливу на соціальні процеси. Студенти опановують коректну термінологію, вчаться відокремлювати факти від припущень, визначати індикатори ризику та готувати короткі аналітичні матеріали для управлінських рішень у сфері безпеки.</w:t>
            </w:r>
          </w:p>
        </w:tc>
      </w:tr>
    </w:tbl>
    <w:p w:rsidR="00B82B45" w:rsidRPr="008F4736" w:rsidRDefault="00B82B45">
      <w:pPr>
        <w:rPr>
          <w:lang w:val="ru-RU"/>
        </w:rPr>
      </w:pPr>
    </w:p>
    <w:sectPr w:rsidR="00B82B45" w:rsidRPr="008F4736"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041CB"/>
    <w:rsid w:val="00326F90"/>
    <w:rsid w:val="00786726"/>
    <w:rsid w:val="008F4736"/>
    <w:rsid w:val="00914A02"/>
    <w:rsid w:val="00AA1D8D"/>
    <w:rsid w:val="00B47730"/>
    <w:rsid w:val="00B82B45"/>
    <w:rsid w:val="00CB0664"/>
    <w:rsid w:val="00D515F5"/>
    <w:rsid w:val="00E04045"/>
    <w:rsid w:val="00E81A7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7EF9D8A3-420D-44F4-BDA7-6B8169E87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C693F"/>
    <w:rPr>
      <w:rFonts w:ascii="Times New Roman" w:eastAsia="Times New Roman" w:hAnsi="Times New Roman"/>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EE095-DC38-4573-9B23-9B48DBDAA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581</Words>
  <Characters>3313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p:lastModifiedBy>
  <cp:revision>7</cp:revision>
  <dcterms:created xsi:type="dcterms:W3CDTF">2013-12-23T23:15:00Z</dcterms:created>
  <dcterms:modified xsi:type="dcterms:W3CDTF">2026-03-16T18:48:00Z</dcterms:modified>
  <cp:category/>
</cp:coreProperties>
</file>