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CB05" w14:textId="3A3109CE" w:rsidR="005F19BF" w:rsidRPr="005F19BF" w:rsidRDefault="00A747FE" w:rsidP="0059334B">
      <w:pPr>
        <w:widowControl w:val="0"/>
        <w:shd w:val="clear" w:color="auto" w:fill="DBE5F1"/>
        <w:tabs>
          <w:tab w:val="left" w:pos="9607"/>
        </w:tabs>
        <w:autoSpaceDE w:val="0"/>
        <w:autoSpaceDN w:val="0"/>
        <w:spacing w:before="240" w:after="24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773901A8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6D7D87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d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39377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39377D" w:rsidRPr="00493C12" w:rsidRDefault="0039377D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654" w:type="dxa"/>
          </w:tcPr>
          <w:p w14:paraId="337550C0" w14:textId="314D33C5" w:rsidR="0039377D" w:rsidRPr="00493C12" w:rsidRDefault="008B49C3" w:rsidP="00AB77D0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</w:t>
            </w: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ослуги з</w:t>
            </w:r>
            <w:r w:rsid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="00AB77D0" w:rsidRPr="00AB77D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виготовлення та друкування календарю настінного за проєктом </w:t>
            </w: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«Повторне відкриття наших спільних культурних коренів і оцифровування їх для майбутніх поколінь – Root4Dig».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0FCE17D4" w:rsidR="005F19BF" w:rsidRPr="005F19BF" w:rsidRDefault="00A747FE" w:rsidP="0059334B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</w:t>
            </w:r>
            <w:r w:rsidR="0059334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9334B">
      <w:pPr>
        <w:keepNext/>
        <w:tabs>
          <w:tab w:val="left" w:pos="930"/>
        </w:tabs>
        <w:autoSpaceDE w:val="0"/>
        <w:autoSpaceDN w:val="0"/>
        <w:spacing w:before="36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36C45645" w14:textId="4C8A32A8" w:rsidR="008B49C3" w:rsidRPr="00AB77D0" w:rsidRDefault="00AB77D0" w:rsidP="00E45EE8">
            <w:pPr>
              <w:spacing w:before="40" w:after="40"/>
              <w:rPr>
                <w:rFonts w:ascii="Open Sans" w:eastAsia="Calibri" w:hAnsi="Open Sans" w:cs="Open Sans"/>
                <w:sz w:val="32"/>
                <w:szCs w:val="20"/>
                <w:lang w:val="uk-UA" w:eastAsia="en-US"/>
              </w:rPr>
            </w:pPr>
            <w:r w:rsidRPr="00AB77D0">
              <w:rPr>
                <w:rFonts w:ascii="Open Sans" w:eastAsia="Calibri" w:hAnsi="Open Sans" w:cs="Open Sans"/>
                <w:szCs w:val="20"/>
                <w:lang w:val="uk-UA" w:eastAsia="en-US"/>
              </w:rPr>
              <w:t>Послуги з виготовлення та друкування календарю настінного</w:t>
            </w:r>
          </w:p>
          <w:p w14:paraId="6E75F9A3" w14:textId="1B452827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8B49C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&lt;XXXXX&gt;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46E3AFDA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2B027088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товар</w:t>
      </w:r>
      <w:bookmarkStart w:id="0" w:name="_GoBack"/>
      <w:bookmarkEnd w:id="0"/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AA17" w14:textId="77777777" w:rsidR="006D7D87" w:rsidRDefault="006D7D87" w:rsidP="0058051B">
      <w:r>
        <w:separator/>
      </w:r>
    </w:p>
  </w:endnote>
  <w:endnote w:type="continuationSeparator" w:id="0">
    <w:p w14:paraId="1512935D" w14:textId="77777777" w:rsidR="006D7D87" w:rsidRDefault="006D7D87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E8D29" w14:textId="77777777" w:rsidR="006D7D87" w:rsidRDefault="006D7D87" w:rsidP="0058051B">
      <w:r>
        <w:separator/>
      </w:r>
    </w:p>
  </w:footnote>
  <w:footnote w:type="continuationSeparator" w:id="0">
    <w:p w14:paraId="30C9A703" w14:textId="77777777" w:rsidR="006D7D87" w:rsidRDefault="006D7D87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9377D"/>
    <w:rsid w:val="003C603E"/>
    <w:rsid w:val="00453AE5"/>
    <w:rsid w:val="00467A68"/>
    <w:rsid w:val="00493C12"/>
    <w:rsid w:val="004B6BB1"/>
    <w:rsid w:val="0058051B"/>
    <w:rsid w:val="0059334B"/>
    <w:rsid w:val="005F19BF"/>
    <w:rsid w:val="00612B0A"/>
    <w:rsid w:val="00652657"/>
    <w:rsid w:val="006D7D87"/>
    <w:rsid w:val="007059B2"/>
    <w:rsid w:val="0071784F"/>
    <w:rsid w:val="00753BA0"/>
    <w:rsid w:val="008A26C1"/>
    <w:rsid w:val="008B49C3"/>
    <w:rsid w:val="008C5C58"/>
    <w:rsid w:val="008F48C8"/>
    <w:rsid w:val="0092078F"/>
    <w:rsid w:val="00A747FE"/>
    <w:rsid w:val="00AB77D0"/>
    <w:rsid w:val="00AC0AE3"/>
    <w:rsid w:val="00B1405D"/>
    <w:rsid w:val="00BC46D1"/>
    <w:rsid w:val="00BC6C7B"/>
    <w:rsid w:val="00C75A2A"/>
    <w:rsid w:val="00CB0E4B"/>
    <w:rsid w:val="00D1760A"/>
    <w:rsid w:val="00DF4397"/>
    <w:rsid w:val="00E05776"/>
    <w:rsid w:val="00E45EE8"/>
    <w:rsid w:val="00E51E3E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12B0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ab">
    <w:name w:val="Абзац списку Знак"/>
    <w:link w:val="aa"/>
    <w:uiPriority w:val="34"/>
    <w:locked/>
    <w:rsid w:val="00453AE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2025-09-08T10:06:00Z</dcterms:created>
  <dcterms:modified xsi:type="dcterms:W3CDTF">2025-09-08T10:06:00Z</dcterms:modified>
</cp:coreProperties>
</file>